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592125480"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246F14"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246F14"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00246F14">
        <w:rPr>
          <w:rFonts w:ascii="Calibri" w:hAnsi="Calibri"/>
          <w:b w:val="0"/>
          <w:bCs/>
          <w:lang w:val="el-GR"/>
        </w:rPr>
        <w:t>ΠΑΝΕΠΙΣΤΗΜΙΟ ΘΕΣΣΑΛΙΑΣ</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DB1822" w:rsidRPr="00246F14"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246F14">
        <w:rPr>
          <w:rFonts w:ascii="Calibri" w:hAnsi="Calibri"/>
          <w:b w:val="0"/>
          <w:bCs/>
          <w:sz w:val="24"/>
          <w:szCs w:val="24"/>
          <w:lang w:val="en-US"/>
        </w:rPr>
        <w:t>G</w:t>
      </w:r>
      <w:r w:rsidR="00246F14" w:rsidRPr="00246F14">
        <w:rPr>
          <w:rFonts w:ascii="Calibri" w:hAnsi="Calibri"/>
          <w:b w:val="0"/>
          <w:bCs/>
          <w:sz w:val="24"/>
          <w:szCs w:val="24"/>
          <w:lang w:val="el-GR"/>
        </w:rPr>
        <w:t xml:space="preserve"> </w:t>
      </w:r>
      <w:r w:rsidR="00246F14">
        <w:rPr>
          <w:rFonts w:ascii="Calibri" w:hAnsi="Calibri"/>
          <w:b w:val="0"/>
          <w:bCs/>
          <w:sz w:val="24"/>
          <w:szCs w:val="24"/>
          <w:lang w:val="en-US"/>
        </w:rPr>
        <w:t>VOLOS</w:t>
      </w:r>
      <w:r w:rsidR="00246F14" w:rsidRPr="00246F14">
        <w:rPr>
          <w:rFonts w:ascii="Calibri" w:hAnsi="Calibri"/>
          <w:b w:val="0"/>
          <w:bCs/>
          <w:sz w:val="24"/>
          <w:szCs w:val="24"/>
          <w:lang w:val="el-GR"/>
        </w:rPr>
        <w:t xml:space="preserve"> 01</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DB1822" w:rsidRDefault="00246F14" w:rsidP="00365E1F">
      <w:pPr>
        <w:jc w:val="both"/>
        <w:rPr>
          <w:rFonts w:ascii="Calibri" w:hAnsi="Calibri"/>
          <w:lang w:val="el-GR"/>
        </w:rPr>
      </w:pPr>
      <w:r>
        <w:rPr>
          <w:rFonts w:ascii="Calibri" w:hAnsi="Calibri"/>
          <w:lang w:val="el-GR"/>
        </w:rPr>
        <w:t>κα ΙΩΑΝΝΑ ΛΑΛΙΩΤΟΥ, Αναπληρώτρια Καθηγήτρια και Αναπληρώτρια Πρύτανη Δημοσίων &amp; Διεθνών Σχέσεων</w:t>
      </w:r>
    </w:p>
    <w:p w:rsidR="00246F14" w:rsidRDefault="00246F14" w:rsidP="00365E1F">
      <w:pPr>
        <w:jc w:val="both"/>
        <w:rPr>
          <w:rFonts w:ascii="Calibri" w:hAnsi="Calibri"/>
          <w:lang w:val="el-GR"/>
        </w:rPr>
      </w:pPr>
    </w:p>
    <w:p w:rsidR="00DB1822" w:rsidRDefault="00DB1822" w:rsidP="00365E1F">
      <w:pPr>
        <w:rPr>
          <w:rFonts w:ascii="Calibri" w:hAnsi="Calibri"/>
          <w:b/>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246F14" w:rsidRPr="00D078D0" w:rsidRDefault="00246F14" w:rsidP="00365E1F">
      <w:pPr>
        <w:rPr>
          <w:rFonts w:ascii="Calibri" w:hAnsi="Calibri"/>
          <w:lang w:val="el-GR"/>
        </w:rPr>
      </w:pP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Φύλο:_________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246F14" w:rsidRDefault="00246F14" w:rsidP="00447566">
      <w:pPr>
        <w:spacing w:after="240"/>
        <w:jc w:val="both"/>
        <w:rPr>
          <w:rFonts w:ascii="Calibri" w:hAnsi="Calibri"/>
          <w:noProof/>
          <w:lang w:val="el-GR" w:eastAsia="el-GR"/>
        </w:rPr>
      </w:pPr>
      <w:bookmarkStart w:id="1" w:name="_GoBack"/>
      <w:bookmarkEnd w:id="1"/>
    </w:p>
    <w:p w:rsidR="00044CCD" w:rsidRDefault="00044CCD" w:rsidP="00447566">
      <w:pPr>
        <w:jc w:val="both"/>
        <w:rPr>
          <w:rFonts w:ascii="Calibri" w:hAnsi="Calibri"/>
          <w:lang w:val="el-GR"/>
        </w:rPr>
      </w:pPr>
      <w:r>
        <w:rPr>
          <w:rFonts w:ascii="Calibri" w:hAnsi="Calibri"/>
          <w:noProof/>
          <w:lang w:val="el-GR" w:eastAsia="el-GR"/>
        </w:rPr>
        <w:lastRenderedPageBreak/>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FD6C1F"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ή πρακτική άσκηση</w:t>
      </w:r>
      <w:r w:rsidR="00D13D18">
        <w:rPr>
          <w:rFonts w:ascii="Calibri" w:hAnsi="Calibri"/>
          <w:lang w:val="el-GR"/>
        </w:rPr>
        <w:t xml:space="preserve"> 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1E3C22" w:rsidRPr="00581B0C">
        <w:rPr>
          <w:rFonts w:ascii="Calibri" w:hAnsi="Calibri"/>
          <w:b/>
          <w:lang w:val="el-GR"/>
        </w:rPr>
        <w:t>*</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246F14" w:rsidTr="00F0056E">
        <w:tc>
          <w:tcPr>
            <w:tcW w:w="8523" w:type="dxa"/>
          </w:tcPr>
          <w:p w:rsidR="009303F3" w:rsidRPr="003E066D" w:rsidRDefault="001E3C22" w:rsidP="009303F3">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w:t>
            </w:r>
            <w:r w:rsidR="009303F3">
              <w:rPr>
                <w:rFonts w:ascii="Calibri" w:hAnsi="Calibri"/>
                <w:sz w:val="22"/>
                <w:szCs w:val="22"/>
                <w:lang w:val="el-GR"/>
              </w:rPr>
              <w:t>Φ</w:t>
            </w:r>
            <w:r w:rsidR="009303F3" w:rsidRPr="009303F3">
              <w:rPr>
                <w:rFonts w:ascii="Calibri" w:hAnsi="Calibri"/>
                <w:sz w:val="22"/>
                <w:szCs w:val="22"/>
                <w:lang w:val="el-GR"/>
              </w:rPr>
              <w:t>οιτητές από κοινωνικά ευπαθείς ομάδες οι οποίοι συμμετέχουν σε δραστηριότητα κινητικότητας για</w:t>
            </w:r>
            <w:r w:rsidR="009303F3" w:rsidRPr="009303F3">
              <w:rPr>
                <w:rFonts w:ascii="Calibri" w:hAnsi="Calibri"/>
                <w:sz w:val="22"/>
                <w:szCs w:val="22"/>
                <w:u w:val="single"/>
                <w:lang w:val="el-GR"/>
              </w:rPr>
              <w:t xml:space="preserve"> πρακτική άσκηση</w:t>
            </w:r>
            <w:r w:rsidR="009303F3" w:rsidRPr="009303F3">
              <w:rPr>
                <w:rFonts w:ascii="Calibri" w:hAnsi="Calibri"/>
                <w:sz w:val="22"/>
                <w:szCs w:val="22"/>
                <w:lang w:val="el-GR"/>
              </w:rPr>
              <w:t>, πρέπει να λάβουν το ποσό της συμπληρωματικής οικονομικής ενίσχυσης για φοιτητές προερχόμενους από κοινωνικά ευπαθείς ομάδες αντί της συμπληρωματικής οικονομικής ενίσχυσης για πρακτική άσκηση</w:t>
            </w:r>
            <w:r w:rsidR="009303F3">
              <w:rPr>
                <w:rFonts w:ascii="Calibri" w:hAnsi="Calibri"/>
                <w:sz w:val="22"/>
                <w:szCs w:val="22"/>
                <w:lang w:val="el-GR"/>
              </w:rPr>
              <w:t xml:space="preserve">. </w:t>
            </w:r>
            <w:r w:rsidR="009303F3" w:rsidRPr="003E066D">
              <w:rPr>
                <w:rFonts w:ascii="Calibri" w:hAnsi="Calibri"/>
                <w:sz w:val="22"/>
                <w:szCs w:val="22"/>
                <w:lang w:val="el-GR"/>
              </w:rPr>
              <w:t xml:space="preserve">Για περισσότερες πληροφορίες επικοινωνήστε με το Γραφείο </w:t>
            </w:r>
            <w:r w:rsidR="009303F3" w:rsidRPr="003E066D">
              <w:rPr>
                <w:rFonts w:ascii="Calibri" w:hAnsi="Calibri"/>
                <w:sz w:val="22"/>
                <w:szCs w:val="22"/>
                <w:lang w:val="en-US"/>
              </w:rPr>
              <w:t>Erasmus</w:t>
            </w:r>
            <w:r w:rsidR="009303F3"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4B7482">
        <w:tc>
          <w:tcPr>
            <w:tcW w:w="8897"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E80F6B"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2A438A"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lastRenderedPageBreak/>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431367">
        <w:rPr>
          <w:rFonts w:ascii="Calibri" w:hAnsi="Calibri"/>
          <w:lang w:val="el-GR"/>
        </w:rPr>
        <w:t xml:space="preserve"> .</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lastRenderedPageBreak/>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xml:space="preserve">, εφόσον η προχρηματοδότηση του Άρθρου 4.1. είναι λιγότερη του 100% </w:t>
      </w:r>
      <w:r w:rsidR="000A3B29">
        <w:rPr>
          <w:rFonts w:ascii="Calibri" w:hAnsi="Calibri"/>
        </w:rPr>
        <w:lastRenderedPageBreak/>
        <w:t>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87B67" w:rsidRPr="002A3F44" w:rsidRDefault="00287B67"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lastRenderedPageBreak/>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bookmarkStart w:id="2" w:name="_Hlk517687923"/>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bookmarkEnd w:id="2"/>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r w:rsidR="005D4872">
        <w:rPr>
          <w:rFonts w:ascii="Calibri" w:hAnsi="Calibri"/>
          <w:lang w:val="el-GR"/>
        </w:rPr>
        <w:t xml:space="preserve"> </w:t>
      </w:r>
    </w:p>
    <w:p w:rsidR="005D4872" w:rsidRPr="005D4872" w:rsidRDefault="005D4872"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00D00E39" w:rsidRPr="005D4872">
        <w:rPr>
          <w:rFonts w:ascii="Calibri" w:hAnsi="Calibri"/>
          <w:i/>
          <w:sz w:val="22"/>
          <w:szCs w:val="22"/>
          <w:lang w:val="el-GR"/>
        </w:rPr>
        <w:t xml:space="preserve">(C2) </w:t>
      </w:r>
      <w:r w:rsidRPr="005D4872">
        <w:rPr>
          <w:rFonts w:ascii="Calibri" w:hAnsi="Calibri"/>
          <w:i/>
          <w:sz w:val="22"/>
          <w:szCs w:val="22"/>
          <w:lang w:val="el-GR"/>
        </w:rPr>
        <w:t>ως  αποτέλεσμα στο 1ο τεστ γλωσσικής αξιολόγησης</w:t>
      </w:r>
      <w:r w:rsidR="00D00E39">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προαπαιτούμενο για την καταβολή της τελικής δόσης της επιχορήγησης.</w:t>
      </w:r>
    </w:p>
    <w:p w:rsidR="005D4872" w:rsidRPr="005D4872" w:rsidRDefault="005D4872" w:rsidP="006D1F46">
      <w:pPr>
        <w:tabs>
          <w:tab w:val="left" w:pos="567"/>
        </w:tabs>
        <w:spacing w:after="240"/>
        <w:jc w:val="both"/>
        <w:rPr>
          <w:rFonts w:ascii="Calibri" w:hAnsi="Calibri"/>
          <w:lang w:val="el-GR"/>
        </w:rPr>
      </w:pP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0E39" w:rsidRPr="00C07A78" w:rsidRDefault="00D00E39"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even" r:id="rId11"/>
          <w:headerReference w:type="default" r:id="rId12"/>
          <w:footerReference w:type="even" r:id="rId13"/>
          <w:footerReference w:type="default" r:id="rId14"/>
          <w:headerReference w:type="first" r:id="rId15"/>
          <w:footerReference w:type="first" r:id="rId16"/>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w:t>
      </w:r>
      <w:r w:rsidRPr="005A3175">
        <w:rPr>
          <w:rFonts w:ascii="Calibri" w:hAnsi="Calibri"/>
          <w:sz w:val="18"/>
          <w:szCs w:val="18"/>
          <w:lang w:val="el-GR"/>
        </w:rPr>
        <w:t>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αριθ. 45/2001 </w:t>
      </w:r>
      <w:r w:rsidR="00FB6FD7">
        <w:rPr>
          <w:rFonts w:ascii="Calibri" w:hAnsi="Calibri"/>
          <w:sz w:val="18"/>
          <w:szCs w:val="18"/>
          <w:lang w:val="el-GR"/>
        </w:rPr>
        <w:t>και τον Κανονισμό (ΕΕ) 2016/679</w:t>
      </w:r>
      <w:r w:rsidR="00FB6FD7"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Ο Συμμετέχων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w:t>
      </w:r>
      <w:r>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14" w:rsidRDefault="00C13614">
      <w:r>
        <w:separator/>
      </w:r>
    </w:p>
  </w:endnote>
  <w:endnote w:type="continuationSeparator" w:id="0">
    <w:p w:rsidR="00C13614" w:rsidRDefault="00C1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altName w:val="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246F14">
      <w:rPr>
        <w:noProof/>
      </w:rPr>
      <w:t>9</w:t>
    </w:r>
    <w:r w:rsidR="007A6B73">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14" w:rsidRDefault="00C13614">
      <w:r>
        <w:separator/>
      </w:r>
    </w:p>
  </w:footnote>
  <w:footnote w:type="continuationSeparator" w:id="0">
    <w:p w:rsidR="00C13614" w:rsidRDefault="00C13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7A6B73">
      <w:rPr>
        <w:rFonts w:ascii="Calibri" w:hAnsi="Calibri"/>
        <w:b/>
        <w:sz w:val="19"/>
        <w:szCs w:val="19"/>
        <w:lang w:val="el-GR" w:eastAsia="el-GR"/>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6F14"/>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AFD"/>
    <w:rsid w:val="00365E1F"/>
    <w:rsid w:val="003661B8"/>
    <w:rsid w:val="00370100"/>
    <w:rsid w:val="0037035E"/>
    <w:rsid w:val="0037061D"/>
    <w:rsid w:val="00373D0B"/>
    <w:rsid w:val="00374162"/>
    <w:rsid w:val="003743A3"/>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60"/>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3614"/>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CBE6-EE90-4974-BBFA-5CBA7C40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3863</Words>
  <Characters>20863</Characters>
  <Application>Microsoft Office Word</Application>
  <DocSecurity>0</DocSecurity>
  <Lines>173</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DAIREP03</cp:lastModifiedBy>
  <cp:revision>3</cp:revision>
  <cp:lastPrinted>2015-08-10T09:30:00Z</cp:lastPrinted>
  <dcterms:created xsi:type="dcterms:W3CDTF">2018-06-25T08:38:00Z</dcterms:created>
  <dcterms:modified xsi:type="dcterms:W3CDTF">2018-07-03T09:18:00Z</dcterms:modified>
</cp:coreProperties>
</file>